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5D5" w:rsidRPr="00074EC6" w:rsidRDefault="0077530B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>
        <w:rPr>
          <w:rFonts w:ascii="Times New Roman" w:hAnsi="Times New Roman"/>
          <w:sz w:val="24"/>
          <w:szCs w:val="24"/>
        </w:rPr>
        <w:tab/>
      </w:r>
      <w:r w:rsidR="003B4069" w:rsidRPr="00074EC6">
        <w:rPr>
          <w:rFonts w:ascii="Times New Roman" w:hAnsi="Times New Roman"/>
          <w:sz w:val="20"/>
          <w:szCs w:val="20"/>
        </w:rPr>
        <w:tab/>
      </w:r>
      <w:r w:rsidR="003B4069" w:rsidRPr="00074EC6">
        <w:rPr>
          <w:rFonts w:ascii="Times New Roman" w:hAnsi="Times New Roman"/>
          <w:sz w:val="20"/>
          <w:szCs w:val="20"/>
        </w:rPr>
        <w:tab/>
      </w:r>
      <w:r w:rsidR="003B4069" w:rsidRPr="00074EC6">
        <w:rPr>
          <w:rFonts w:ascii="Times New Roman" w:hAnsi="Times New Roman"/>
          <w:sz w:val="20"/>
          <w:szCs w:val="20"/>
        </w:rPr>
        <w:tab/>
      </w:r>
      <w:r w:rsidR="003B4069" w:rsidRPr="00074EC6">
        <w:rPr>
          <w:rFonts w:ascii="Times New Roman" w:hAnsi="Times New Roman"/>
          <w:sz w:val="20"/>
          <w:szCs w:val="20"/>
        </w:rPr>
        <w:tab/>
        <w:t>Утверждено</w:t>
      </w:r>
    </w:p>
    <w:p w:rsidR="003B4069" w:rsidRPr="00074EC6" w:rsidRDefault="003B4069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  <w:t xml:space="preserve">         Решением Общего собрания</w:t>
      </w:r>
    </w:p>
    <w:p w:rsidR="003B4069" w:rsidRPr="00074EC6" w:rsidRDefault="003B4069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  <w:t xml:space="preserve">  Членов СНТ «МАЛИНОВКА»</w:t>
      </w:r>
    </w:p>
    <w:p w:rsidR="003B4069" w:rsidRPr="00074EC6" w:rsidRDefault="003B4069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Pr="00074EC6">
        <w:rPr>
          <w:rFonts w:ascii="Times New Roman" w:hAnsi="Times New Roman"/>
          <w:sz w:val="20"/>
          <w:szCs w:val="20"/>
        </w:rPr>
        <w:tab/>
      </w:r>
      <w:r w:rsidR="00681DCE">
        <w:rPr>
          <w:rFonts w:ascii="Times New Roman" w:hAnsi="Times New Roman"/>
          <w:sz w:val="20"/>
          <w:szCs w:val="20"/>
        </w:rPr>
        <w:tab/>
      </w:r>
      <w:r w:rsidR="00681DCE">
        <w:rPr>
          <w:rFonts w:ascii="Times New Roman" w:hAnsi="Times New Roman"/>
          <w:sz w:val="20"/>
          <w:szCs w:val="20"/>
        </w:rPr>
        <w:tab/>
      </w:r>
      <w:r w:rsidR="00681DCE">
        <w:rPr>
          <w:rFonts w:ascii="Times New Roman" w:hAnsi="Times New Roman"/>
          <w:sz w:val="20"/>
          <w:szCs w:val="20"/>
        </w:rPr>
        <w:tab/>
      </w:r>
      <w:r w:rsidR="00681DCE">
        <w:rPr>
          <w:rFonts w:ascii="Times New Roman" w:hAnsi="Times New Roman"/>
          <w:sz w:val="20"/>
          <w:szCs w:val="20"/>
        </w:rPr>
        <w:tab/>
        <w:t xml:space="preserve">  от «____»_____________2023</w:t>
      </w:r>
      <w:r w:rsidRPr="00074EC6">
        <w:rPr>
          <w:rFonts w:ascii="Times New Roman" w:hAnsi="Times New Roman"/>
          <w:sz w:val="20"/>
          <w:szCs w:val="20"/>
        </w:rPr>
        <w:t xml:space="preserve"> г.</w:t>
      </w:r>
    </w:p>
    <w:p w:rsidR="003B4069" w:rsidRPr="00E57257" w:rsidRDefault="003B4069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E57257" w:rsidRPr="00E57257" w:rsidRDefault="00E57257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57257">
        <w:rPr>
          <w:rFonts w:ascii="Times New Roman" w:hAnsi="Times New Roman"/>
          <w:color w:val="000000"/>
          <w:sz w:val="20"/>
          <w:szCs w:val="20"/>
        </w:rPr>
        <w:t>Настоящее финансово-экономическое обоснование является неотъемлемой частью приходно-расходн</w:t>
      </w:r>
      <w:r w:rsidR="00681DCE">
        <w:rPr>
          <w:rFonts w:ascii="Times New Roman" w:hAnsi="Times New Roman"/>
          <w:color w:val="000000"/>
          <w:sz w:val="20"/>
          <w:szCs w:val="20"/>
        </w:rPr>
        <w:t>ой сметы СНТ «МАЛИНОВКА» на 2024</w:t>
      </w:r>
      <w:r w:rsidRPr="00E57257">
        <w:rPr>
          <w:rFonts w:ascii="Times New Roman" w:hAnsi="Times New Roman"/>
          <w:color w:val="000000"/>
          <w:sz w:val="20"/>
          <w:szCs w:val="20"/>
        </w:rPr>
        <w:t xml:space="preserve"> год, подготовлено в соответствии с:</w:t>
      </w:r>
    </w:p>
    <w:p w:rsidR="00E57257" w:rsidRPr="00E57257" w:rsidRDefault="00E57257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57257">
        <w:rPr>
          <w:rFonts w:ascii="Times New Roman" w:hAnsi="Times New Roman"/>
          <w:color w:val="000000"/>
          <w:sz w:val="20"/>
          <w:szCs w:val="20"/>
        </w:rPr>
        <w:t>• 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E57257" w:rsidRPr="00E57257" w:rsidRDefault="00E57257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57257">
        <w:rPr>
          <w:rFonts w:ascii="Times New Roman" w:hAnsi="Times New Roman"/>
          <w:color w:val="000000"/>
          <w:sz w:val="20"/>
          <w:szCs w:val="20"/>
        </w:rPr>
        <w:t>• Анализом хозяйственной деят</w:t>
      </w:r>
      <w:r w:rsidR="00A9440C">
        <w:rPr>
          <w:rFonts w:ascii="Times New Roman" w:hAnsi="Times New Roman"/>
          <w:color w:val="000000"/>
          <w:sz w:val="20"/>
          <w:szCs w:val="20"/>
        </w:rPr>
        <w:t>ельности СНТ «МАЛИНОВКА» за 2022</w:t>
      </w:r>
      <w:r w:rsidRPr="00E57257">
        <w:rPr>
          <w:rFonts w:ascii="Times New Roman" w:hAnsi="Times New Roman"/>
          <w:color w:val="000000"/>
          <w:sz w:val="20"/>
          <w:szCs w:val="20"/>
        </w:rPr>
        <w:t xml:space="preserve"> год;</w:t>
      </w:r>
    </w:p>
    <w:p w:rsidR="00E57257" w:rsidRPr="00E57257" w:rsidRDefault="00E57257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57257">
        <w:rPr>
          <w:rFonts w:ascii="Times New Roman" w:hAnsi="Times New Roman"/>
          <w:color w:val="000000"/>
          <w:sz w:val="20"/>
          <w:szCs w:val="20"/>
        </w:rPr>
        <w:t>• Конъюнктурного анализа цен на товары и у</w:t>
      </w:r>
      <w:r w:rsidR="00A9440C">
        <w:rPr>
          <w:rFonts w:ascii="Times New Roman" w:hAnsi="Times New Roman"/>
          <w:color w:val="000000"/>
          <w:sz w:val="20"/>
          <w:szCs w:val="20"/>
        </w:rPr>
        <w:t>слуги по итогам расходов за 2022</w:t>
      </w:r>
      <w:r w:rsidRPr="00E57257">
        <w:rPr>
          <w:rFonts w:ascii="Times New Roman" w:hAnsi="Times New Roman"/>
          <w:color w:val="000000"/>
          <w:sz w:val="20"/>
          <w:szCs w:val="20"/>
        </w:rPr>
        <w:t xml:space="preserve"> год.</w:t>
      </w:r>
    </w:p>
    <w:p w:rsidR="00E57257" w:rsidRPr="00E57257" w:rsidRDefault="00E57257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57257">
        <w:rPr>
          <w:rFonts w:ascii="Times New Roman" w:hAnsi="Times New Roman"/>
          <w:b/>
          <w:bCs/>
          <w:color w:val="000000"/>
          <w:sz w:val="20"/>
          <w:szCs w:val="20"/>
        </w:rPr>
        <w:t>Финансово-экономическое обоснование размера взносов</w:t>
      </w:r>
    </w:p>
    <w:p w:rsidR="00E57257" w:rsidRPr="00E57257" w:rsidRDefault="00681DCE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на 2024</w:t>
      </w:r>
      <w:r w:rsidR="00E57257" w:rsidRPr="00E57257">
        <w:rPr>
          <w:rFonts w:ascii="Times New Roman" w:hAnsi="Times New Roman"/>
          <w:b/>
          <w:bCs/>
          <w:color w:val="000000"/>
          <w:sz w:val="20"/>
          <w:szCs w:val="20"/>
        </w:rPr>
        <w:t xml:space="preserve"> гг. к  смете  Cадоводческого некоммерческого</w:t>
      </w:r>
    </w:p>
    <w:p w:rsidR="00E57257" w:rsidRPr="00E57257" w:rsidRDefault="00E57257" w:rsidP="00E5725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57257">
        <w:rPr>
          <w:rFonts w:ascii="Times New Roman" w:hAnsi="Times New Roman"/>
          <w:b/>
          <w:bCs/>
          <w:color w:val="000000"/>
          <w:sz w:val="20"/>
          <w:szCs w:val="20"/>
        </w:rPr>
        <w:t>товарищества "МАЛИНОВКА"</w:t>
      </w:r>
    </w:p>
    <w:p w:rsidR="00E57257" w:rsidRPr="00E57257" w:rsidRDefault="00E57257" w:rsidP="003B406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B4069" w:rsidRPr="00074EC6" w:rsidRDefault="003B4069" w:rsidP="00E57257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p w:rsidR="001C65D5" w:rsidRPr="00074EC6" w:rsidRDefault="001C65D5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692"/>
        <w:gridCol w:w="1985"/>
        <w:gridCol w:w="5820"/>
      </w:tblGrid>
      <w:tr w:rsidR="00E57257" w:rsidRPr="00074EC6" w:rsidTr="008C7DAF">
        <w:tc>
          <w:tcPr>
            <w:tcW w:w="534" w:type="dxa"/>
            <w:tcBorders>
              <w:right w:val="nil"/>
            </w:tcBorders>
          </w:tcPr>
          <w:p w:rsidR="00E57257" w:rsidRPr="00074EC6" w:rsidRDefault="00E57257" w:rsidP="005369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E57257" w:rsidRPr="00074EC6" w:rsidRDefault="00E57257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Членские взносы</w:t>
            </w:r>
          </w:p>
        </w:tc>
        <w:tc>
          <w:tcPr>
            <w:tcW w:w="1692" w:type="dxa"/>
          </w:tcPr>
          <w:p w:rsidR="00E57257" w:rsidRPr="00074EC6" w:rsidRDefault="00E57257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424</w:t>
            </w:r>
            <w:r w:rsidR="00436752">
              <w:rPr>
                <w:rFonts w:ascii="Times New Roman" w:hAnsi="Times New Roman"/>
                <w:b/>
                <w:sz w:val="20"/>
                <w:szCs w:val="20"/>
              </w:rPr>
              <w:t xml:space="preserve"> члена СНТ</w:t>
            </w:r>
          </w:p>
        </w:tc>
        <w:tc>
          <w:tcPr>
            <w:tcW w:w="1985" w:type="dxa"/>
          </w:tcPr>
          <w:p w:rsidR="00E57257" w:rsidRPr="00074EC6" w:rsidRDefault="00E57257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  <w:r w:rsidR="00436752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</w:p>
        </w:tc>
        <w:tc>
          <w:tcPr>
            <w:tcW w:w="5820" w:type="dxa"/>
          </w:tcPr>
          <w:p w:rsidR="00E57257" w:rsidRPr="00074EC6" w:rsidRDefault="00E57257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4 240 000,00</w:t>
            </w:r>
            <w:r w:rsidR="00436752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</w:p>
        </w:tc>
      </w:tr>
      <w:tr w:rsidR="00A33298" w:rsidRPr="00074EC6" w:rsidTr="008C7DAF">
        <w:tc>
          <w:tcPr>
            <w:tcW w:w="534" w:type="dxa"/>
            <w:tcBorders>
              <w:right w:val="nil"/>
            </w:tcBorders>
          </w:tcPr>
          <w:p w:rsidR="00A33298" w:rsidRPr="00074EC6" w:rsidRDefault="00A33298" w:rsidP="005369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РАСХОД</w:t>
            </w:r>
          </w:p>
        </w:tc>
        <w:tc>
          <w:tcPr>
            <w:tcW w:w="1692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1985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Обоснование</w:t>
            </w: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Фонд оплаты труда штатных сотрудников (в т.ч. НДФЛ)</w:t>
            </w:r>
          </w:p>
        </w:tc>
        <w:tc>
          <w:tcPr>
            <w:tcW w:w="1692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80 574,71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 за месяц</w:t>
            </w:r>
          </w:p>
        </w:tc>
        <w:tc>
          <w:tcPr>
            <w:tcW w:w="1985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966</w:t>
            </w:r>
            <w:r w:rsidR="002262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 896,52 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>за год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969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Председатель товарищества</w:t>
            </w:r>
          </w:p>
        </w:tc>
        <w:tc>
          <w:tcPr>
            <w:tcW w:w="1692" w:type="dxa"/>
          </w:tcPr>
          <w:p w:rsidR="00A33298" w:rsidRPr="00074EC6" w:rsidRDefault="008661A7" w:rsidP="00DA3D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 000,00 </w:t>
            </w:r>
          </w:p>
        </w:tc>
        <w:tc>
          <w:tcPr>
            <w:tcW w:w="1985" w:type="dxa"/>
          </w:tcPr>
          <w:p w:rsidR="00A33298" w:rsidRPr="00074EC6" w:rsidRDefault="008661A7" w:rsidP="00DA3D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0 000,00 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969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1692" w:type="dxa"/>
          </w:tcPr>
          <w:p w:rsidR="00A33298" w:rsidRPr="00074EC6" w:rsidRDefault="00E8359A" w:rsidP="00DA3D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50 574,71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</w:p>
        </w:tc>
        <w:tc>
          <w:tcPr>
            <w:tcW w:w="1985" w:type="dxa"/>
          </w:tcPr>
          <w:p w:rsidR="00A33298" w:rsidRPr="00074EC6" w:rsidRDefault="00E8359A" w:rsidP="00DA3D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606 896,52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Страховые взносы с фонда оплаты труда</w:t>
            </w:r>
          </w:p>
        </w:tc>
        <w:tc>
          <w:tcPr>
            <w:tcW w:w="1692" w:type="dxa"/>
          </w:tcPr>
          <w:p w:rsidR="00A33298" w:rsidRPr="00074EC6" w:rsidRDefault="00A33298" w:rsidP="00A33298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30,2% -</w:t>
            </w:r>
            <w:r w:rsidR="00E8359A">
              <w:rPr>
                <w:rFonts w:ascii="Times New Roman" w:hAnsi="Times New Roman"/>
                <w:b/>
                <w:sz w:val="20"/>
                <w:szCs w:val="20"/>
              </w:rPr>
              <w:t>24 333,56</w:t>
            </w: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,00 </w:t>
            </w:r>
          </w:p>
        </w:tc>
        <w:tc>
          <w:tcPr>
            <w:tcW w:w="1985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292  002,72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 за год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969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Страховые взносы на пенсионное, медицинское и социальное страхование</w:t>
            </w:r>
          </w:p>
        </w:tc>
        <w:tc>
          <w:tcPr>
            <w:tcW w:w="1692" w:type="dxa"/>
          </w:tcPr>
          <w:p w:rsidR="00A33298" w:rsidRPr="00074EC6" w:rsidRDefault="00E8359A" w:rsidP="00DA3D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A33298">
              <w:rPr>
                <w:rFonts w:ascii="Times New Roman" w:hAnsi="Times New Roman"/>
                <w:sz w:val="20"/>
                <w:szCs w:val="20"/>
              </w:rPr>
              <w:t xml:space="preserve">% - </w:t>
            </w:r>
            <w:r>
              <w:rPr>
                <w:rFonts w:ascii="Times New Roman" w:hAnsi="Times New Roman"/>
                <w:sz w:val="20"/>
                <w:szCs w:val="20"/>
              </w:rPr>
              <w:t>24 333,56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</w:p>
        </w:tc>
        <w:tc>
          <w:tcPr>
            <w:tcW w:w="1985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290 068,92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969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Страховые взносы от несчастных случае на производстве и профзаболеваний</w:t>
            </w:r>
          </w:p>
        </w:tc>
        <w:tc>
          <w:tcPr>
            <w:tcW w:w="1692" w:type="dxa"/>
          </w:tcPr>
          <w:p w:rsidR="00A33298" w:rsidRPr="00074EC6" w:rsidRDefault="00E8359A" w:rsidP="00DA3D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0,2% -161,15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,00 </w:t>
            </w:r>
          </w:p>
        </w:tc>
        <w:tc>
          <w:tcPr>
            <w:tcW w:w="1985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1933,8</w:t>
            </w:r>
          </w:p>
        </w:tc>
        <w:tc>
          <w:tcPr>
            <w:tcW w:w="582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Аренда земель общего пользования</w:t>
            </w:r>
          </w:p>
        </w:tc>
        <w:tc>
          <w:tcPr>
            <w:tcW w:w="1692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51 000,00 </w:t>
            </w:r>
          </w:p>
        </w:tc>
        <w:tc>
          <w:tcPr>
            <w:tcW w:w="5820" w:type="dxa"/>
          </w:tcPr>
          <w:p w:rsidR="00A33298" w:rsidRPr="00074EC6" w:rsidRDefault="00436752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Аренда земель общего пользования в </w:t>
            </w:r>
            <w:r w:rsidR="0045209C">
              <w:rPr>
                <w:rFonts w:ascii="Times New Roman" w:hAnsi="Times New Roman"/>
                <w:sz w:val="20"/>
                <w:szCs w:val="20"/>
              </w:rPr>
              <w:t>2024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у.</w:t>
            </w:r>
          </w:p>
        </w:tc>
      </w:tr>
      <w:tr w:rsidR="00A33298" w:rsidRPr="00074EC6" w:rsidTr="008C7DAF">
        <w:tc>
          <w:tcPr>
            <w:tcW w:w="534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Услуги по ведению и обслуживанию банковского счета</w:t>
            </w:r>
          </w:p>
        </w:tc>
        <w:tc>
          <w:tcPr>
            <w:tcW w:w="1692" w:type="dxa"/>
          </w:tcPr>
          <w:p w:rsidR="00A33298" w:rsidRPr="00A33298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2 916,6</w:t>
            </w:r>
          </w:p>
        </w:tc>
        <w:tc>
          <w:tcPr>
            <w:tcW w:w="1985" w:type="dxa"/>
          </w:tcPr>
          <w:p w:rsidR="00A33298" w:rsidRPr="00074EC6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5820" w:type="dxa"/>
          </w:tcPr>
          <w:p w:rsidR="00A33298" w:rsidRPr="00DA3D68" w:rsidRDefault="00A33298" w:rsidP="00DA3D6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D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 на банковские услуги (р/счет, комиссия банка):</w:t>
            </w:r>
            <w:r w:rsidRPr="00DA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Ежемесячная плата за ведение </w:t>
            </w:r>
            <w:r w:rsidR="00E8359A">
              <w:rPr>
                <w:rFonts w:ascii="Times New Roman" w:hAnsi="Times New Roman"/>
                <w:color w:val="000000"/>
                <w:sz w:val="20"/>
                <w:szCs w:val="20"/>
              </w:rPr>
              <w:t>расчетного счета составляет 2916,6</w:t>
            </w:r>
            <w:r w:rsidRPr="00DA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руб. в месяц (</w:t>
            </w:r>
            <w:r w:rsidR="00E835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  <w:r w:rsidRPr="00DA3D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 рублей в год</w:t>
            </w:r>
            <w:r w:rsidRPr="00DA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); </w:t>
            </w:r>
          </w:p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61A" w:rsidRPr="00074EC6" w:rsidRDefault="006E361A" w:rsidP="006E361A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566"/>
        <w:gridCol w:w="3960"/>
        <w:gridCol w:w="1688"/>
        <w:gridCol w:w="1980"/>
        <w:gridCol w:w="5806"/>
      </w:tblGrid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A33298" w:rsidRPr="00074EC6" w:rsidRDefault="00A33298" w:rsidP="00C55F93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Услуги, оказанные на основании заключенных договоров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B04E46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558 690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580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A33298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298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960" w:type="dxa"/>
          </w:tcPr>
          <w:p w:rsidR="00A33298" w:rsidRPr="00A33298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Электрик (по необходимости</w:t>
            </w:r>
            <w:r w:rsidR="00A33298" w:rsidRPr="00A3329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688" w:type="dxa"/>
          </w:tcPr>
          <w:p w:rsidR="00A33298" w:rsidRPr="00A33298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A33298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A33298" w:rsidRPr="00A33298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5806" w:type="dxa"/>
          </w:tcPr>
          <w:p w:rsidR="00A33298" w:rsidRPr="00074EC6" w:rsidRDefault="00E8359A" w:rsidP="00E8359A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Обслуживание электросети СНТ по необходимости </w:t>
            </w:r>
            <w:r w:rsidRPr="00074EC6">
              <w:rPr>
                <w:sz w:val="20"/>
                <w:szCs w:val="20"/>
              </w:rPr>
              <w:t xml:space="preserve"> 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960" w:type="dxa"/>
          </w:tcPr>
          <w:p w:rsidR="00A33298" w:rsidRPr="00A33298" w:rsidRDefault="00A33298" w:rsidP="00E967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298">
              <w:rPr>
                <w:rFonts w:ascii="Times New Roman" w:hAnsi="Times New Roman"/>
                <w:sz w:val="20"/>
                <w:szCs w:val="20"/>
              </w:rPr>
              <w:t xml:space="preserve">Вывоз твердых бытовых отходов (ТБО) </w:t>
            </w:r>
            <w:r w:rsidR="008C7DAF">
              <w:rPr>
                <w:rFonts w:ascii="Times New Roman" w:hAnsi="Times New Roman"/>
                <w:sz w:val="20"/>
                <w:szCs w:val="20"/>
              </w:rPr>
              <w:t>ИП Гавлович А.С. БИОСФЕРА</w:t>
            </w:r>
          </w:p>
          <w:p w:rsidR="00A33298" w:rsidRPr="00A33298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A33298" w:rsidRPr="00A33298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A33298" w:rsidRDefault="00E8359A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="00A33298" w:rsidRPr="00A33298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5806" w:type="dxa"/>
          </w:tcPr>
          <w:p w:rsidR="00887715" w:rsidRDefault="00887715" w:rsidP="0053697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D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Вывоз твердых бытовых отходов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A33298" w:rsidRPr="008C7DAF" w:rsidRDefault="00887715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263">
              <w:rPr>
                <w:rFonts w:ascii="Times New Roman" w:hAnsi="Times New Roman"/>
                <w:sz w:val="20"/>
                <w:szCs w:val="20"/>
              </w:rPr>
              <w:t xml:space="preserve">Заключен договор с </w:t>
            </w:r>
            <w:r w:rsidR="008C7DAF">
              <w:rPr>
                <w:rFonts w:ascii="Times New Roman" w:hAnsi="Times New Roman"/>
                <w:sz w:val="20"/>
                <w:szCs w:val="20"/>
              </w:rPr>
              <w:t xml:space="preserve">ИП Гавлович </w:t>
            </w:r>
            <w:r w:rsidR="00EA7263">
              <w:rPr>
                <w:rFonts w:ascii="Times New Roman" w:hAnsi="Times New Roman"/>
                <w:sz w:val="20"/>
                <w:szCs w:val="20"/>
              </w:rPr>
              <w:t>«БИОСФЕРА»</w:t>
            </w:r>
            <w:r w:rsidR="008C7DAF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EA7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7DAF">
              <w:rPr>
                <w:rFonts w:ascii="Times New Roman" w:hAnsi="Times New Roman"/>
                <w:sz w:val="20"/>
                <w:szCs w:val="20"/>
              </w:rPr>
              <w:t>41 от 26.05.2021 г.</w:t>
            </w:r>
            <w:r w:rsidR="00EA7263">
              <w:rPr>
                <w:rFonts w:ascii="Times New Roman" w:hAnsi="Times New Roman"/>
                <w:sz w:val="20"/>
                <w:szCs w:val="20"/>
              </w:rPr>
              <w:t xml:space="preserve"> на вывоз и утилизацию ТБО. Фирма предоставляет бесплатно 4 контейнера. Оплата осуществляется по факту, от количества вывезенных конт</w:t>
            </w:r>
            <w:r w:rsidR="008C7DAF">
              <w:rPr>
                <w:rFonts w:ascii="Times New Roman" w:hAnsi="Times New Roman"/>
                <w:sz w:val="20"/>
                <w:szCs w:val="20"/>
              </w:rPr>
              <w:t xml:space="preserve">ейнеров, стоимость одного </w:t>
            </w:r>
            <w:r w:rsidR="008C7DAF" w:rsidRPr="008C7DAF">
              <w:rPr>
                <w:rFonts w:ascii="Times New Roman" w:hAnsi="Times New Roman"/>
                <w:sz w:val="20"/>
                <w:szCs w:val="20"/>
              </w:rPr>
              <w:t>контейнера 1100,00 руб.</w:t>
            </w:r>
          </w:p>
          <w:p w:rsidR="008C7DAF" w:rsidRPr="008C7DAF" w:rsidRDefault="008C7DAF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AF">
              <w:rPr>
                <w:rFonts w:ascii="Times New Roman" w:hAnsi="Times New Roman"/>
                <w:sz w:val="20"/>
                <w:szCs w:val="20"/>
              </w:rPr>
              <w:t>Заказ одного бункера 8 м</w:t>
            </w:r>
            <w:r w:rsidRPr="008C7DA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3 </w:t>
            </w:r>
            <w:r w:rsidRPr="008C7DAF">
              <w:rPr>
                <w:rFonts w:ascii="Times New Roman" w:hAnsi="Times New Roman"/>
                <w:sz w:val="20"/>
                <w:szCs w:val="20"/>
              </w:rPr>
              <w:t>в сезон, для вывоза крупногабаритного мусора – 9000,00 руб.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3960" w:type="dxa"/>
          </w:tcPr>
          <w:p w:rsidR="00A33298" w:rsidRPr="00A33298" w:rsidRDefault="00A33298" w:rsidP="0001040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298">
              <w:rPr>
                <w:rFonts w:ascii="Times New Roman" w:hAnsi="Times New Roman"/>
                <w:sz w:val="20"/>
                <w:szCs w:val="20"/>
              </w:rPr>
              <w:t xml:space="preserve">Вывоз твердых бытовых отходов (ТБО) </w:t>
            </w:r>
          </w:p>
          <w:p w:rsidR="00A33298" w:rsidRPr="00A33298" w:rsidRDefault="00A33298" w:rsidP="0001040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298">
              <w:rPr>
                <w:rFonts w:ascii="Times New Roman" w:hAnsi="Times New Roman"/>
                <w:sz w:val="20"/>
                <w:szCs w:val="20"/>
              </w:rPr>
              <w:t>(ООО</w:t>
            </w:r>
            <w:r w:rsidR="00887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3298">
              <w:rPr>
                <w:rFonts w:ascii="Times New Roman" w:hAnsi="Times New Roman"/>
                <w:sz w:val="20"/>
                <w:szCs w:val="20"/>
              </w:rPr>
              <w:t>«К</w:t>
            </w:r>
            <w:r w:rsidR="00887715">
              <w:rPr>
                <w:rFonts w:ascii="Times New Roman" w:hAnsi="Times New Roman"/>
                <w:sz w:val="20"/>
                <w:szCs w:val="20"/>
              </w:rPr>
              <w:t xml:space="preserve">аширский региональный оператор» </w:t>
            </w:r>
            <w:r w:rsidRPr="00A33298">
              <w:rPr>
                <w:rFonts w:ascii="Times New Roman" w:hAnsi="Times New Roman"/>
                <w:sz w:val="20"/>
                <w:szCs w:val="20"/>
              </w:rPr>
              <w:t>Договор №КРО-2021-7014244 от 29.03.2021 г.)</w:t>
            </w:r>
          </w:p>
        </w:tc>
        <w:tc>
          <w:tcPr>
            <w:tcW w:w="1688" w:type="dxa"/>
          </w:tcPr>
          <w:p w:rsidR="00A33298" w:rsidRPr="00A33298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A33298" w:rsidRDefault="0062179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160 000</w:t>
            </w:r>
            <w:r w:rsidR="00A33298" w:rsidRPr="00A332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806" w:type="dxa"/>
          </w:tcPr>
          <w:p w:rsidR="00A33298" w:rsidRPr="00DA3D68" w:rsidRDefault="00A33298" w:rsidP="00DA3D6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D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Вывоз твердых бытовых отходов.</w:t>
            </w:r>
            <w:r w:rsidR="004367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(Обязательный договор)</w:t>
            </w:r>
          </w:p>
          <w:p w:rsidR="00A33298" w:rsidRPr="00074EC6" w:rsidRDefault="00A33298" w:rsidP="004F08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Заключен договор с 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Каширским </w:t>
            </w:r>
            <w:r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Региональным опера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тором ООО № КРО-2021-7014244 от 29.03.2021</w:t>
            </w:r>
            <w:r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 на вывоз и утилиза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цию ТБО. Стоимость вывоза 1 конт</w:t>
            </w:r>
            <w:r w:rsidR="0062179C">
              <w:rPr>
                <w:rFonts w:ascii="Times New Roman" w:hAnsi="Times New Roman"/>
                <w:color w:val="000000"/>
                <w:sz w:val="20"/>
                <w:szCs w:val="20"/>
              </w:rPr>
              <w:t>ейнера объемом 1,1 куб. м в 2023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составляла -875,93 рублей. Оплата зависит от фактически вывозимых контейнеров в месяц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3960" w:type="dxa"/>
          </w:tcPr>
          <w:p w:rsidR="00A9440C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298">
              <w:rPr>
                <w:rFonts w:ascii="Times New Roman" w:hAnsi="Times New Roman"/>
                <w:sz w:val="20"/>
                <w:szCs w:val="20"/>
              </w:rPr>
              <w:t>Ведение бухгалт</w:t>
            </w:r>
            <w:r w:rsidR="00A9440C">
              <w:rPr>
                <w:rFonts w:ascii="Times New Roman" w:hAnsi="Times New Roman"/>
                <w:sz w:val="20"/>
                <w:szCs w:val="20"/>
              </w:rPr>
              <w:t xml:space="preserve">ерского учета </w:t>
            </w:r>
          </w:p>
          <w:p w:rsidR="00A33298" w:rsidRPr="00A33298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«ЭДЕРА» (Договор № 426799466 от 08.09.2021 г.)</w:t>
            </w:r>
          </w:p>
        </w:tc>
        <w:tc>
          <w:tcPr>
            <w:tcW w:w="1688" w:type="dxa"/>
          </w:tcPr>
          <w:p w:rsidR="00A33298" w:rsidRPr="00A33298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A33298" w:rsidRPr="00A33298">
              <w:rPr>
                <w:rFonts w:ascii="Times New Roman" w:hAnsi="Times New Roman"/>
                <w:sz w:val="20"/>
                <w:szCs w:val="20"/>
              </w:rPr>
              <w:t xml:space="preserve"> 490,00</w:t>
            </w:r>
          </w:p>
        </w:tc>
        <w:tc>
          <w:tcPr>
            <w:tcW w:w="1980" w:type="dxa"/>
          </w:tcPr>
          <w:p w:rsidR="00A33298" w:rsidRPr="00A33298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  <w:r w:rsidR="00A33298" w:rsidRPr="00A33298">
              <w:rPr>
                <w:rFonts w:ascii="Times New Roman" w:hAnsi="Times New Roman"/>
                <w:sz w:val="20"/>
                <w:szCs w:val="20"/>
              </w:rPr>
              <w:t xml:space="preserve"> 880,00</w:t>
            </w:r>
          </w:p>
        </w:tc>
        <w:tc>
          <w:tcPr>
            <w:tcW w:w="5806" w:type="dxa"/>
          </w:tcPr>
          <w:p w:rsidR="00A33298" w:rsidRDefault="00A33298" w:rsidP="00DA6CB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Ведение бухгалтерского учета и отчетности</w:t>
            </w:r>
          </w:p>
          <w:p w:rsidR="0049478F" w:rsidRPr="0049478F" w:rsidRDefault="00A9440C" w:rsidP="00DA6CB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«ЭДЕРА</w:t>
            </w:r>
            <w:r w:rsidR="0049478F"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Бухгалтерский учет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>, к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>адровый учет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 xml:space="preserve">, сдача </w:t>
            </w:r>
            <w:r w:rsidR="00436752" w:rsidRPr="0049478F">
              <w:rPr>
                <w:rFonts w:ascii="Times New Roman" w:hAnsi="Times New Roman"/>
                <w:sz w:val="20"/>
                <w:szCs w:val="20"/>
              </w:rPr>
              <w:t>отчётности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>заимод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>ействие с налоговой, ФСС и ПФР п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>одготовка к проверке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>, о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>тветы на требования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>, с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>опровож</w:t>
            </w:r>
            <w:r w:rsidR="0049478F" w:rsidRPr="0049478F">
              <w:rPr>
                <w:rFonts w:ascii="Times New Roman" w:hAnsi="Times New Roman"/>
                <w:sz w:val="20"/>
                <w:szCs w:val="20"/>
              </w:rPr>
              <w:t>дение по телефону при проверке ,о</w:t>
            </w:r>
            <w:r w:rsidR="00A9440C">
              <w:rPr>
                <w:rFonts w:ascii="Times New Roman" w:hAnsi="Times New Roman"/>
                <w:sz w:val="20"/>
                <w:szCs w:val="20"/>
              </w:rPr>
              <w:t>тветы на требования.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Взаимодействие с банками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Разблокировка счета (кроме 115 ФЗ)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Помощь в открытии расчетного счета в банке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Юридическая поддержка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Консультации по 24 отраслям права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Предоставление типовых документов и договоров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Правовой анализ заключенных договоров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Устные консультации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Подготовка персональных юридических док-ов (претензии и тп</w:t>
            </w:r>
            <w:r w:rsidR="00A9440C">
              <w:rPr>
                <w:rFonts w:ascii="Times New Roman" w:hAnsi="Times New Roman"/>
                <w:sz w:val="20"/>
                <w:szCs w:val="20"/>
              </w:rPr>
              <w:t>.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Личный менеджер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Сервисы Проверка контрагентов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Проверка контрагентов - расширенна</w:t>
            </w:r>
            <w:r w:rsidR="00887715">
              <w:rPr>
                <w:rFonts w:ascii="Times New Roman" w:hAnsi="Times New Roman"/>
                <w:sz w:val="20"/>
                <w:szCs w:val="20"/>
              </w:rPr>
              <w:t>я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верси</w:t>
            </w:r>
            <w:r w:rsidR="00887715">
              <w:rPr>
                <w:rFonts w:ascii="Times New Roman" w:hAnsi="Times New Roman"/>
                <w:sz w:val="20"/>
                <w:szCs w:val="20"/>
              </w:rPr>
              <w:t>я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с советами от экспертов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Персональный бизнес-ассистент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Защита при проведении проверок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Консультации экспертов (ответ в течении 24 часов) Оптимизация по налогообложению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Бухгалтерский учет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Кадровый учет </w:t>
            </w:r>
          </w:p>
          <w:p w:rsidR="0049478F" w:rsidRPr="0049478F" w:rsidRDefault="00D16B40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 xml:space="preserve">Налогообложение и отчетность </w:t>
            </w:r>
          </w:p>
          <w:p w:rsidR="0049478F" w:rsidRPr="0049478F" w:rsidRDefault="0049478F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49478F">
              <w:rPr>
                <w:rFonts w:ascii="Times New Roman" w:hAnsi="Times New Roman"/>
                <w:sz w:val="20"/>
                <w:szCs w:val="20"/>
              </w:rPr>
              <w:t>Получение\отправка документов ч</w:t>
            </w:r>
            <w:r w:rsidR="00D16B40" w:rsidRPr="0049478F">
              <w:rPr>
                <w:rFonts w:ascii="Times New Roman" w:hAnsi="Times New Roman"/>
                <w:sz w:val="20"/>
                <w:szCs w:val="20"/>
              </w:rPr>
              <w:t>ерез любые мессенджеры (WhatsApp, Telegram, Viber, Skype) Через удобное приложение Главбух Ассистент iOS\Android Курьерсква</w:t>
            </w:r>
            <w:r w:rsidR="00A9440C">
              <w:rPr>
                <w:rFonts w:ascii="Times New Roman" w:hAnsi="Times New Roman"/>
                <w:sz w:val="20"/>
                <w:szCs w:val="20"/>
              </w:rPr>
              <w:t>я доставка\забор документов ВЭД,</w:t>
            </w:r>
            <w:r w:rsidRPr="0049478F">
              <w:rPr>
                <w:rFonts w:ascii="Times New Roman" w:hAnsi="Times New Roman"/>
                <w:sz w:val="20"/>
                <w:szCs w:val="20"/>
              </w:rPr>
              <w:t xml:space="preserve"> НКО</w:t>
            </w:r>
            <w:r w:rsidR="00D16B40" w:rsidRPr="004947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3298" w:rsidRPr="00074EC6" w:rsidRDefault="00A33298" w:rsidP="00DA6C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A9440C">
              <w:rPr>
                <w:rFonts w:ascii="Times New Roman" w:hAnsi="Times New Roman"/>
                <w:color w:val="000000"/>
                <w:sz w:val="20"/>
                <w:szCs w:val="20"/>
              </w:rPr>
              <w:t>тоимость услуг 13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490 рублей в месяц</w:t>
            </w:r>
            <w:r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9440C" w:rsidRPr="00074EC6" w:rsidTr="008661A7">
        <w:tc>
          <w:tcPr>
            <w:tcW w:w="566" w:type="dxa"/>
          </w:tcPr>
          <w:p w:rsidR="00A9440C" w:rsidRPr="00074EC6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5.5 </w:t>
            </w:r>
          </w:p>
        </w:tc>
        <w:tc>
          <w:tcPr>
            <w:tcW w:w="3960" w:type="dxa"/>
          </w:tcPr>
          <w:p w:rsidR="00A9440C" w:rsidRPr="00A33298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1С «САДОВОД» (годовое обслуживание) ООО «Рациональная </w:t>
            </w:r>
            <w:r w:rsidR="00DD37FD">
              <w:rPr>
                <w:rFonts w:ascii="Times New Roman" w:hAnsi="Times New Roman"/>
                <w:sz w:val="20"/>
                <w:szCs w:val="20"/>
              </w:rPr>
              <w:t>автоматизация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88" w:type="dxa"/>
          </w:tcPr>
          <w:p w:rsidR="00A9440C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16 810,00</w:t>
            </w:r>
          </w:p>
        </w:tc>
        <w:tc>
          <w:tcPr>
            <w:tcW w:w="1980" w:type="dxa"/>
          </w:tcPr>
          <w:p w:rsidR="00A9440C" w:rsidRDefault="00A9440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16 810,00</w:t>
            </w:r>
          </w:p>
        </w:tc>
        <w:tc>
          <w:tcPr>
            <w:tcW w:w="5806" w:type="dxa"/>
          </w:tcPr>
          <w:p w:rsidR="00A9440C" w:rsidRPr="00DD37FD" w:rsidRDefault="00DD37FD" w:rsidP="00DA6C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D37FD">
              <w:rPr>
                <w:rFonts w:ascii="Times New Roman" w:hAnsi="Times New Roman"/>
                <w:bCs/>
                <w:sz w:val="20"/>
                <w:szCs w:val="20"/>
              </w:rPr>
              <w:t>Доступ в 1 С «САДОВОД»</w:t>
            </w:r>
          </w:p>
        </w:tc>
      </w:tr>
      <w:tr w:rsidR="004F0867" w:rsidRPr="00074EC6" w:rsidTr="008661A7">
        <w:tc>
          <w:tcPr>
            <w:tcW w:w="566" w:type="dxa"/>
          </w:tcPr>
          <w:p w:rsidR="004F0867" w:rsidRDefault="004F0867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3960" w:type="dxa"/>
          </w:tcPr>
          <w:p w:rsidR="004F0867" w:rsidRDefault="004F0867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детской площадки</w:t>
            </w:r>
          </w:p>
        </w:tc>
        <w:tc>
          <w:tcPr>
            <w:tcW w:w="1688" w:type="dxa"/>
          </w:tcPr>
          <w:p w:rsidR="004F0867" w:rsidRDefault="004F0867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980" w:type="dxa"/>
          </w:tcPr>
          <w:p w:rsidR="004F0867" w:rsidRDefault="004F0867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5806" w:type="dxa"/>
          </w:tcPr>
          <w:p w:rsidR="004F0867" w:rsidRDefault="004F0867" w:rsidP="00DA6C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Заключен договор с ИП Курбанов Т.Р. №1/09.09.2022 от 09.09.2022 г.</w:t>
            </w:r>
          </w:p>
          <w:p w:rsidR="004F0867" w:rsidRPr="00DD37FD" w:rsidRDefault="004F0867" w:rsidP="00DA6C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Исполнитель оказывает услуги по техническому осмотру детской площадки, протяжки узловых соединений, проведение мелкого и  капитального ремонта оборудования. 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Юридические услуги, судебные, организационные расходы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B04E46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9440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5806" w:type="dxa"/>
          </w:tcPr>
          <w:p w:rsidR="00A33298" w:rsidRPr="00DA6CB8" w:rsidRDefault="00A33298" w:rsidP="00DA6C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Юридические услуги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A33298" w:rsidRPr="00074EC6" w:rsidRDefault="00A33298" w:rsidP="00DA6C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>Необходимость введения данной статьи расходов вызвана низкой собираемостью взносов и платежей. Проект сметы и расчет взносов сделан при 100% оплате. К сожалению, не все садоводы являются добросовестными плательщиками.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(заказ выписок ЕГРН, оплата государственной пошлины о</w:t>
            </w:r>
            <w:r w:rsidR="008877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 суммы иска 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задолженностей, консультации юристов)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Административные и организационные расходы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4F0867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D37FD">
              <w:rPr>
                <w:rFonts w:ascii="Times New Roman" w:hAnsi="Times New Roman"/>
                <w:b/>
                <w:sz w:val="20"/>
                <w:szCs w:val="20"/>
              </w:rPr>
              <w:t>0 000,00</w:t>
            </w:r>
          </w:p>
        </w:tc>
        <w:tc>
          <w:tcPr>
            <w:tcW w:w="5806" w:type="dxa"/>
          </w:tcPr>
          <w:p w:rsidR="00A33298" w:rsidRPr="00DA6CB8" w:rsidRDefault="00A33298" w:rsidP="00DA6CB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Административные и организационные  расходы :</w:t>
            </w:r>
          </w:p>
          <w:p w:rsidR="00A33298" w:rsidRPr="00DA6CB8" w:rsidRDefault="00DD37FD" w:rsidP="00DA6C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 мобильная связь</w:t>
            </w:r>
            <w:r w:rsidR="00A33298"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417</w:t>
            </w:r>
            <w:r w:rsidR="00A33298" w:rsidRPr="00DA6CB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в год 5000</w:t>
            </w:r>
            <w:r w:rsidR="00A33298" w:rsidRPr="00DA6CB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</w:p>
          <w:p w:rsidR="00A33298" w:rsidRPr="00074EC6" w:rsidRDefault="00A33298" w:rsidP="00DA6CB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транспортные расходы: </w:t>
            </w:r>
          </w:p>
          <w:p w:rsidR="00A33298" w:rsidRPr="00074EC6" w:rsidRDefault="00A33298" w:rsidP="00DA6C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поездки в банк,  ГКУ МР,  Администрацию Ступинс</w:t>
            </w:r>
            <w:r w:rsidR="004F0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кого района и другие поездки 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 </w:t>
            </w:r>
            <w:r w:rsidR="008661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Pr="00DA6CB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</w:t>
            </w:r>
            <w:r w:rsidR="008661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,00</w:t>
            </w:r>
            <w:r w:rsidRPr="00DA6CB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рублей в год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);</w:t>
            </w:r>
          </w:p>
          <w:p w:rsidR="00A33298" w:rsidRPr="00074EC6" w:rsidRDefault="00A33298" w:rsidP="00DA6CB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административные расходы:</w:t>
            </w:r>
          </w:p>
          <w:p w:rsidR="00A33298" w:rsidRPr="00074EC6" w:rsidRDefault="00A33298" w:rsidP="00DA6C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приобретение канц. 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8661A7">
              <w:rPr>
                <w:rFonts w:ascii="Times New Roman" w:hAnsi="Times New Roman"/>
                <w:color w:val="000000"/>
                <w:sz w:val="20"/>
                <w:szCs w:val="20"/>
              </w:rPr>
              <w:t>аров - 5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000,00 рублей</w:t>
            </w:r>
            <w:r w:rsidR="008661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год;</w:t>
            </w:r>
          </w:p>
          <w:p w:rsidR="00A33298" w:rsidRPr="00074EC6" w:rsidRDefault="00A33298" w:rsidP="00074E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почтовые расходы –</w:t>
            </w:r>
            <w:r w:rsidR="008661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000,00</w:t>
            </w: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руб. в год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Благоустройство земель общего пользования ЗОП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B04E46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13BE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7A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5806" w:type="dxa"/>
          </w:tcPr>
          <w:p w:rsidR="00A33298" w:rsidRPr="00DA6CB8" w:rsidRDefault="00A33298" w:rsidP="00DA6CB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Содержать в порядке прилегающую территорию нас обязывает закон. Пунктом 1 статьи 55 Закона Московской области </w:t>
            </w:r>
            <w:r w:rsidRPr="00DA6C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 благоустройстве в Московской области» № 191/2014-ОЗ от 30 декабря 2014 года установлено,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 что </w:t>
            </w:r>
            <w:r w:rsidRPr="00DA6CB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«1. Садоводческие,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садоводческим, огородническим и дачным некоммерческим объединениям граждан территории на расстоянии 5 метров от ограждений (заборов), если расстояние прилегающей территории не установлено в большем размере»</w:t>
            </w:r>
            <w:r w:rsidRPr="00DA6CB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Покос травы ЗОП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DD37FD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5806" w:type="dxa"/>
          </w:tcPr>
          <w:p w:rsidR="00436752" w:rsidRPr="00643C59" w:rsidRDefault="00A33298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DA6CB8">
              <w:rPr>
                <w:rFonts w:ascii="Times New Roman" w:hAnsi="Times New Roman"/>
                <w:sz w:val="20"/>
                <w:szCs w:val="20"/>
              </w:rPr>
              <w:t xml:space="preserve">По периметру СНТ-  вырубка мелколесья, покос 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>травы 2</w:t>
            </w:r>
            <w:r w:rsidRPr="00DA6CB8">
              <w:rPr>
                <w:rFonts w:ascii="Times New Roman" w:hAnsi="Times New Roman"/>
                <w:sz w:val="20"/>
                <w:szCs w:val="20"/>
              </w:rPr>
              <w:t xml:space="preserve"> раза за </w:t>
            </w:r>
            <w:r w:rsidR="00436752" w:rsidRPr="00643C59">
              <w:rPr>
                <w:rFonts w:ascii="Times New Roman" w:hAnsi="Times New Roman"/>
                <w:sz w:val="20"/>
                <w:szCs w:val="20"/>
              </w:rPr>
              <w:t>весенне-осенний сезон.</w:t>
            </w:r>
          </w:p>
          <w:p w:rsidR="00436752" w:rsidRPr="00643C59" w:rsidRDefault="00436752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643C59">
              <w:rPr>
                <w:rFonts w:ascii="Times New Roman" w:hAnsi="Times New Roman"/>
                <w:sz w:val="20"/>
                <w:szCs w:val="20"/>
              </w:rPr>
              <w:t xml:space="preserve">Планируемая стоимость </w:t>
            </w:r>
            <w:r w:rsidR="009302F0">
              <w:rPr>
                <w:rFonts w:ascii="Times New Roman" w:hAnsi="Times New Roman"/>
                <w:sz w:val="20"/>
                <w:szCs w:val="20"/>
              </w:rPr>
              <w:t>-50 000</w:t>
            </w:r>
            <w:r w:rsidR="00A33298" w:rsidRPr="00DA6CB8">
              <w:rPr>
                <w:rFonts w:ascii="Times New Roman" w:hAnsi="Times New Roman"/>
                <w:sz w:val="20"/>
                <w:szCs w:val="20"/>
              </w:rPr>
              <w:t xml:space="preserve"> рублей;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3298" w:rsidRPr="00DA6CB8" w:rsidRDefault="00436752" w:rsidP="00DA6CB8">
            <w:pPr>
              <w:rPr>
                <w:rFonts w:ascii="Times New Roman" w:hAnsi="Times New Roman"/>
                <w:sz w:val="20"/>
                <w:szCs w:val="20"/>
              </w:rPr>
            </w:pPr>
            <w:r w:rsidRPr="003F5ECF">
              <w:rPr>
                <w:rFonts w:ascii="Times New Roman" w:hAnsi="Times New Roman"/>
                <w:sz w:val="20"/>
                <w:szCs w:val="20"/>
              </w:rPr>
              <w:t>Цены рыночные, устанавливаются исполнителем</w:t>
            </w:r>
            <w:r w:rsidR="00CF47AB">
              <w:rPr>
                <w:rFonts w:ascii="Times New Roman" w:hAnsi="Times New Roman"/>
                <w:sz w:val="20"/>
                <w:szCs w:val="20"/>
              </w:rPr>
              <w:t>,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самозанятым или Индивидуальным предпринимателем  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на основании Договора оказания услуг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33298" w:rsidRPr="00643C59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Уборка снега (Центральная дорога, объездная дорога, лучи)</w:t>
            </w:r>
          </w:p>
        </w:tc>
        <w:tc>
          <w:tcPr>
            <w:tcW w:w="1688" w:type="dxa"/>
          </w:tcPr>
          <w:p w:rsidR="00A33298" w:rsidRPr="00074EC6" w:rsidRDefault="00E77D45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80" w:type="dxa"/>
          </w:tcPr>
          <w:p w:rsidR="00A33298" w:rsidRPr="00074EC6" w:rsidRDefault="00C13BEC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D37FD">
              <w:rPr>
                <w:rFonts w:ascii="Times New Roman" w:hAnsi="Times New Roman"/>
                <w:sz w:val="20"/>
                <w:szCs w:val="20"/>
              </w:rPr>
              <w:t>50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5806" w:type="dxa"/>
          </w:tcPr>
          <w:p w:rsidR="00A33298" w:rsidRPr="00643C59" w:rsidRDefault="00A33298" w:rsidP="0043675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ECF">
              <w:rPr>
                <w:rFonts w:ascii="Times New Roman" w:hAnsi="Times New Roman"/>
                <w:sz w:val="20"/>
                <w:szCs w:val="20"/>
              </w:rPr>
              <w:t>Очистка дорог от снега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(Центральная, лучи, объездная)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 xml:space="preserve">. Фактически в предыдущие снежные зимы чистка снега производилась от 3 до 5 раз за </w:t>
            </w:r>
            <w:r w:rsidR="005213E3">
              <w:rPr>
                <w:rFonts w:ascii="Times New Roman" w:hAnsi="Times New Roman"/>
                <w:sz w:val="20"/>
                <w:szCs w:val="20"/>
              </w:rPr>
              <w:t>сезон. Стоимость очистки зависила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 xml:space="preserve"> от типа техники, которая свободна на момент заказа</w:t>
            </w:r>
            <w:r w:rsidR="005213E3">
              <w:rPr>
                <w:rFonts w:ascii="Times New Roman" w:hAnsi="Times New Roman"/>
                <w:sz w:val="20"/>
                <w:szCs w:val="20"/>
              </w:rPr>
              <w:t>. Цены рыночные, устанавливались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 xml:space="preserve"> исполнителем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6752" w:rsidRPr="00643C59">
              <w:rPr>
                <w:rFonts w:ascii="Times New Roman" w:hAnsi="Times New Roman"/>
                <w:sz w:val="20"/>
                <w:szCs w:val="20"/>
              </w:rPr>
              <w:t>с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амозанятым или Индивидуальным предпринимателем 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на основании Договора оказания услуг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213E3">
              <w:rPr>
                <w:rFonts w:ascii="Times New Roman" w:hAnsi="Times New Roman"/>
                <w:sz w:val="20"/>
                <w:szCs w:val="20"/>
              </w:rPr>
              <w:t>Правлением СНТ было принято решение заключить договор с ООО «БИОСФЕРА». В соответствии с договором исполнитель осуществляет чистку дорог самостоятельно</w:t>
            </w:r>
            <w:r w:rsidR="009302F0">
              <w:rPr>
                <w:rFonts w:ascii="Times New Roman" w:hAnsi="Times New Roman"/>
                <w:sz w:val="20"/>
                <w:szCs w:val="20"/>
              </w:rPr>
              <w:t xml:space="preserve"> за фиксированную плату в размере 50 000,00 рублей в месяц, неограниченное количество раз, по мере выпадения осадков.   </w:t>
            </w:r>
            <w:r w:rsidR="00521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>Планируемая стоимость за сезон - </w:t>
            </w:r>
            <w:r w:rsidR="009302F0">
              <w:rPr>
                <w:rFonts w:ascii="Times New Roman" w:hAnsi="Times New Roman"/>
                <w:sz w:val="20"/>
                <w:szCs w:val="20"/>
              </w:rPr>
              <w:t>3 мес.</w:t>
            </w:r>
            <w:r w:rsidRPr="00643C59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5213E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9302F0">
              <w:rPr>
                <w:rFonts w:ascii="Times New Roman" w:hAnsi="Times New Roman"/>
                <w:sz w:val="20"/>
                <w:szCs w:val="20"/>
              </w:rPr>
              <w:t>50 000 рублей = 15</w:t>
            </w:r>
            <w:r w:rsidRPr="003F5ECF">
              <w:rPr>
                <w:rFonts w:ascii="Times New Roman" w:hAnsi="Times New Roman"/>
                <w:sz w:val="20"/>
                <w:szCs w:val="20"/>
              </w:rPr>
              <w:t>0 000 рублей.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Устройство освещения, материалы и оборудование для освещения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B04E46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302F0">
              <w:rPr>
                <w:rFonts w:ascii="Times New Roman" w:hAnsi="Times New Roman"/>
                <w:sz w:val="20"/>
                <w:szCs w:val="20"/>
              </w:rPr>
              <w:t>50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5806" w:type="dxa"/>
          </w:tcPr>
          <w:p w:rsidR="007845A0" w:rsidRDefault="00A33298" w:rsidP="00210A9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фонарей</w:t>
            </w:r>
            <w:r w:rsidRPr="00210A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уличного освещения, кронштейны на столбы, провода для подкл</w:t>
            </w:r>
            <w:r w:rsidR="0022627B">
              <w:rPr>
                <w:rFonts w:ascii="Times New Roman" w:hAnsi="Times New Roman"/>
                <w:color w:val="000000"/>
                <w:sz w:val="20"/>
                <w:szCs w:val="20"/>
              </w:rPr>
              <w:t>ючения, расходные материалы – 3</w:t>
            </w:r>
            <w:r w:rsidR="00FD7AC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10A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0000,00 </w:t>
            </w:r>
          </w:p>
          <w:p w:rsidR="0019577A" w:rsidRDefault="0019577A" w:rsidP="00210A9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0BE2" w:rsidRPr="00210A99" w:rsidRDefault="00690BE2" w:rsidP="00690B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0A99">
              <w:rPr>
                <w:rFonts w:ascii="Times New Roman" w:hAnsi="Times New Roman"/>
                <w:color w:val="000000"/>
                <w:sz w:val="20"/>
                <w:szCs w:val="20"/>
              </w:rPr>
              <w:t>Сумма определена на основании коммерческих предложений, представленных в правление тов</w:t>
            </w:r>
            <w:r w:rsidR="002740CD">
              <w:rPr>
                <w:rFonts w:ascii="Times New Roman" w:hAnsi="Times New Roman"/>
                <w:color w:val="000000"/>
                <w:sz w:val="20"/>
                <w:szCs w:val="20"/>
              </w:rPr>
              <w:t>арищества, в т.ч. ИП Журков К.В.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210A99">
              <w:rPr>
                <w:rFonts w:ascii="Times New Roman" w:hAnsi="Times New Roman"/>
                <w:color w:val="000000"/>
                <w:sz w:val="20"/>
                <w:szCs w:val="20"/>
              </w:rPr>
              <w:t>работает без предоплаты, по безналичному расчету, с предоставлением всех необходимых документов, что соответствует интересам СНТ.</w:t>
            </w:r>
          </w:p>
          <w:p w:rsidR="00A33298" w:rsidRPr="00210A99" w:rsidRDefault="00A33298" w:rsidP="00210A9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33298" w:rsidRPr="00074EC6" w:rsidRDefault="00A33298" w:rsidP="00690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Ремонтные работы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22627B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1 541 410,76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580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Обустройство объездной дороги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22627B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1 531 410,76</w:t>
            </w:r>
          </w:p>
        </w:tc>
        <w:tc>
          <w:tcPr>
            <w:tcW w:w="5806" w:type="dxa"/>
          </w:tcPr>
          <w:p w:rsidR="00A33298" w:rsidRPr="00210A99" w:rsidRDefault="00690BE2" w:rsidP="00A332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3298">
              <w:rPr>
                <w:rFonts w:ascii="Times New Roman" w:hAnsi="Times New Roman"/>
                <w:color w:val="000000"/>
                <w:sz w:val="20"/>
                <w:szCs w:val="20"/>
              </w:rPr>
              <w:t>Ремонт объездной</w:t>
            </w:r>
            <w:r w:rsidR="002262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дороги. (</w:t>
            </w:r>
            <w:r w:rsidR="00A33298" w:rsidRPr="00A3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закладка труб под дороги, утрамбовка щебнем</w:t>
            </w:r>
            <w:r w:rsidR="002262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дорог),</w:t>
            </w:r>
            <w:r w:rsidR="00A33298" w:rsidRPr="00A332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осуществляет </w:t>
            </w:r>
            <w:r w:rsidR="00E77D45">
              <w:rPr>
                <w:rFonts w:ascii="Times New Roman" w:hAnsi="Times New Roman"/>
                <w:color w:val="000000"/>
                <w:sz w:val="20"/>
                <w:szCs w:val="20"/>
              </w:rPr>
              <w:t>ООО «БИОСФЕРА»</w:t>
            </w:r>
            <w:r w:rsidR="00A33298" w:rsidRPr="00690B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A33298" w:rsidRPr="00210A99">
              <w:rPr>
                <w:rFonts w:ascii="Times New Roman" w:hAnsi="Times New Roman"/>
                <w:color w:val="000000"/>
                <w:sz w:val="20"/>
                <w:szCs w:val="20"/>
              </w:rPr>
              <w:t>работает без предоплаты, по безналичному расчету, с предоставлением всех необходимых документов, что соответствует интересам СНТ.</w:t>
            </w:r>
          </w:p>
          <w:p w:rsidR="00A33298" w:rsidRPr="00A33298" w:rsidRDefault="00A33298" w:rsidP="00A332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33298" w:rsidRPr="00690BE2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FD7AC1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3960" w:type="dxa"/>
          </w:tcPr>
          <w:p w:rsidR="00A33298" w:rsidRPr="00074EC6" w:rsidRDefault="00690BE2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 xml:space="preserve"> откатных ворот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5806" w:type="dxa"/>
          </w:tcPr>
          <w:p w:rsidR="00A33298" w:rsidRPr="00210A99" w:rsidRDefault="0045209C" w:rsidP="00210A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основании ремонта в </w:t>
            </w:r>
            <w:r w:rsidR="002262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2022</w:t>
            </w:r>
            <w:r w:rsidR="00A33298" w:rsidRPr="00210A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в связи с неправильной эксплуатацией садоводами откатных ворот.</w:t>
            </w:r>
          </w:p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Расчеты за электроэнергию (Россети)</w:t>
            </w:r>
            <w:r w:rsidR="00F416A8" w:rsidRPr="00074E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16A8" w:rsidRPr="00F416A8">
              <w:rPr>
                <w:rFonts w:ascii="Times New Roman" w:hAnsi="Times New Roman"/>
                <w:b/>
                <w:sz w:val="20"/>
                <w:szCs w:val="20"/>
              </w:rPr>
              <w:t>Электроэнергия на общественные нужды (Сторожка, детская площадка, откатные ворота)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15 000,00</w:t>
            </w:r>
          </w:p>
        </w:tc>
        <w:tc>
          <w:tcPr>
            <w:tcW w:w="580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Непредвиденные расходы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E77D45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>0 000,00</w:t>
            </w:r>
          </w:p>
        </w:tc>
        <w:tc>
          <w:tcPr>
            <w:tcW w:w="580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Не учтенные в других статьях расходы, возникновение которых может быть обусловлено удорожанием работ, услуг, оборудования и материалов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E77D45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5806" w:type="dxa"/>
          </w:tcPr>
          <w:p w:rsidR="00A33298" w:rsidRPr="00E57257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ECF">
              <w:rPr>
                <w:rFonts w:ascii="Times New Roman" w:hAnsi="Times New Roman"/>
                <w:color w:val="000000"/>
                <w:sz w:val="20"/>
                <w:szCs w:val="20"/>
              </w:rPr>
              <w:t>В начале года невозможно предусмотреть все затраты, которы</w:t>
            </w:r>
            <w:r w:rsidRPr="00E57257">
              <w:rPr>
                <w:rFonts w:ascii="Times New Roman" w:hAnsi="Times New Roman"/>
                <w:color w:val="000000"/>
                <w:sz w:val="20"/>
                <w:szCs w:val="20"/>
              </w:rPr>
              <w:t>е могут возникнуть впоследствии</w:t>
            </w: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EC6">
              <w:rPr>
                <w:rFonts w:ascii="Times New Roman" w:hAnsi="Times New Roman"/>
                <w:sz w:val="20"/>
                <w:szCs w:val="20"/>
              </w:rPr>
              <w:t>Непредвиденные расходы: затраты, связанные с аварийными работами на электросетях, устранением различных повреждений, изменением законодательства, решениями властей различного уровня, возможными штрафами, услугами юриста для представления интересов СНТ в суде (в случае превышения необходимого расхода над статьей 6) и другие не планируемые заранее расходы.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E77D45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33298" w:rsidRPr="00074EC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580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298" w:rsidRPr="00074EC6" w:rsidTr="008661A7">
        <w:tc>
          <w:tcPr>
            <w:tcW w:w="56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EC6">
              <w:rPr>
                <w:rFonts w:ascii="Times New Roman" w:hAnsi="Times New Roman"/>
                <w:b/>
                <w:sz w:val="20"/>
                <w:szCs w:val="20"/>
              </w:rPr>
              <w:t>ИТОГО РАСХОДОВ:</w:t>
            </w:r>
          </w:p>
        </w:tc>
        <w:tc>
          <w:tcPr>
            <w:tcW w:w="1688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33298" w:rsidRPr="00074EC6" w:rsidRDefault="009269A1" w:rsidP="0053697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4 2</w:t>
            </w:r>
            <w:r w:rsidR="00E572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33298" w:rsidRPr="00074EC6">
              <w:rPr>
                <w:rFonts w:ascii="Times New Roman" w:hAnsi="Times New Roman"/>
                <w:b/>
                <w:sz w:val="20"/>
                <w:szCs w:val="20"/>
              </w:rPr>
              <w:t>0 000,00</w:t>
            </w:r>
          </w:p>
        </w:tc>
        <w:tc>
          <w:tcPr>
            <w:tcW w:w="5806" w:type="dxa"/>
          </w:tcPr>
          <w:p w:rsidR="00A33298" w:rsidRPr="00074EC6" w:rsidRDefault="00A33298" w:rsidP="0053697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6D74" w:rsidRPr="00074EC6" w:rsidRDefault="00BC6D74" w:rsidP="00BC6D7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BC6D74" w:rsidRPr="00074EC6" w:rsidRDefault="00BC6D74" w:rsidP="00BC6D7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BC6D74" w:rsidRPr="00074EC6" w:rsidRDefault="00BC6D74" w:rsidP="00BC6D7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CF701E" w:rsidRPr="00074EC6" w:rsidRDefault="00CF701E" w:rsidP="00CF701E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2630FE" w:rsidRPr="00074EC6" w:rsidRDefault="002630FE" w:rsidP="002630FE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C55F93" w:rsidRPr="00074EC6" w:rsidRDefault="00C55F93" w:rsidP="00C55F93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6E361A" w:rsidRPr="00074EC6" w:rsidRDefault="006E361A" w:rsidP="006E361A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6E361A" w:rsidRPr="00074EC6" w:rsidRDefault="006E361A" w:rsidP="006E361A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77530B" w:rsidRPr="00074EC6" w:rsidRDefault="0077530B" w:rsidP="001C65D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77530B" w:rsidRPr="00074EC6" w:rsidSect="001F3DB2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0B"/>
    <w:rsid w:val="000061DD"/>
    <w:rsid w:val="00010401"/>
    <w:rsid w:val="00074EC6"/>
    <w:rsid w:val="000854F3"/>
    <w:rsid w:val="00172112"/>
    <w:rsid w:val="0019577A"/>
    <w:rsid w:val="001B1C49"/>
    <w:rsid w:val="001C65D5"/>
    <w:rsid w:val="001F3DB2"/>
    <w:rsid w:val="00210A99"/>
    <w:rsid w:val="0022627B"/>
    <w:rsid w:val="002630FE"/>
    <w:rsid w:val="002740CD"/>
    <w:rsid w:val="00294525"/>
    <w:rsid w:val="002F0F04"/>
    <w:rsid w:val="002F5F6A"/>
    <w:rsid w:val="003A7298"/>
    <w:rsid w:val="003B4069"/>
    <w:rsid w:val="003D1042"/>
    <w:rsid w:val="003F5ECF"/>
    <w:rsid w:val="00436752"/>
    <w:rsid w:val="0045209C"/>
    <w:rsid w:val="0049478F"/>
    <w:rsid w:val="004A6E43"/>
    <w:rsid w:val="004F0867"/>
    <w:rsid w:val="005213E3"/>
    <w:rsid w:val="00535277"/>
    <w:rsid w:val="0053697D"/>
    <w:rsid w:val="005A18AB"/>
    <w:rsid w:val="005D5C9D"/>
    <w:rsid w:val="005E39E4"/>
    <w:rsid w:val="0062179C"/>
    <w:rsid w:val="00630609"/>
    <w:rsid w:val="00643C59"/>
    <w:rsid w:val="00660699"/>
    <w:rsid w:val="00677BD0"/>
    <w:rsid w:val="00681DCE"/>
    <w:rsid w:val="00690BE2"/>
    <w:rsid w:val="006D420D"/>
    <w:rsid w:val="006E361A"/>
    <w:rsid w:val="0073110D"/>
    <w:rsid w:val="0077530B"/>
    <w:rsid w:val="00780F99"/>
    <w:rsid w:val="00781D6C"/>
    <w:rsid w:val="007845A0"/>
    <w:rsid w:val="007971E3"/>
    <w:rsid w:val="007A6409"/>
    <w:rsid w:val="007E14B2"/>
    <w:rsid w:val="007F75D2"/>
    <w:rsid w:val="00804DBB"/>
    <w:rsid w:val="008661A7"/>
    <w:rsid w:val="00877C8B"/>
    <w:rsid w:val="00887715"/>
    <w:rsid w:val="008C1CAF"/>
    <w:rsid w:val="008C7A19"/>
    <w:rsid w:val="008C7DAF"/>
    <w:rsid w:val="009269A1"/>
    <w:rsid w:val="009302F0"/>
    <w:rsid w:val="00977E6B"/>
    <w:rsid w:val="00993384"/>
    <w:rsid w:val="00A33298"/>
    <w:rsid w:val="00A56A6A"/>
    <w:rsid w:val="00A75CC7"/>
    <w:rsid w:val="00A82AA8"/>
    <w:rsid w:val="00A9440C"/>
    <w:rsid w:val="00AB6F77"/>
    <w:rsid w:val="00B04E46"/>
    <w:rsid w:val="00B123C9"/>
    <w:rsid w:val="00B849F6"/>
    <w:rsid w:val="00BA69A6"/>
    <w:rsid w:val="00BC6D74"/>
    <w:rsid w:val="00C13BEC"/>
    <w:rsid w:val="00C52B00"/>
    <w:rsid w:val="00C55F93"/>
    <w:rsid w:val="00C83D71"/>
    <w:rsid w:val="00CF47AB"/>
    <w:rsid w:val="00CF701E"/>
    <w:rsid w:val="00D16B40"/>
    <w:rsid w:val="00D627B3"/>
    <w:rsid w:val="00D75069"/>
    <w:rsid w:val="00DA3D68"/>
    <w:rsid w:val="00DA6CB8"/>
    <w:rsid w:val="00DD37FD"/>
    <w:rsid w:val="00DF5AE4"/>
    <w:rsid w:val="00E57257"/>
    <w:rsid w:val="00E77D45"/>
    <w:rsid w:val="00E8359A"/>
    <w:rsid w:val="00E92568"/>
    <w:rsid w:val="00E96763"/>
    <w:rsid w:val="00EA7263"/>
    <w:rsid w:val="00EE5893"/>
    <w:rsid w:val="00F13339"/>
    <w:rsid w:val="00F416A8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9824697-1E4B-481E-87ED-F560CCCF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B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2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A3D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A7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A225-1BAA-4F07-BA71-1F491AD88E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Гость</cp:lastModifiedBy>
  <cp:revision>2</cp:revision>
  <cp:lastPrinted>2021-09-17T10:48:00Z</cp:lastPrinted>
  <dcterms:created xsi:type="dcterms:W3CDTF">2023-05-18T08:33:00Z</dcterms:created>
  <dcterms:modified xsi:type="dcterms:W3CDTF">2023-05-18T08:33:00Z</dcterms:modified>
</cp:coreProperties>
</file>